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8B50" w14:textId="17266F5D" w:rsidR="00395A07" w:rsidRDefault="00395A07" w:rsidP="00395A07">
      <w:pPr>
        <w:tabs>
          <w:tab w:val="left" w:pos="630"/>
        </w:tabs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How Do You Teach Diversity </w:t>
      </w:r>
    </w:p>
    <w:p w14:paraId="388B125C" w14:textId="038567C9" w:rsidR="00395A07" w:rsidRDefault="00395A07" w:rsidP="00395A07">
      <w:pPr>
        <w:tabs>
          <w:tab w:val="left" w:pos="630"/>
        </w:tabs>
        <w:rPr>
          <w:rFonts w:ascii="Georgia" w:hAnsi="Georgia"/>
          <w:bCs/>
        </w:rPr>
      </w:pPr>
      <w:r>
        <w:rPr>
          <w:rFonts w:ascii="Georgia" w:hAnsi="Georgia"/>
          <w:bCs/>
        </w:rPr>
        <w:t>Dr. Abby Koenig</w:t>
      </w:r>
    </w:p>
    <w:p w14:paraId="2FEB454A" w14:textId="3C226D07" w:rsidR="00395A07" w:rsidRDefault="00395A07" w:rsidP="00395A07">
      <w:pPr>
        <w:tabs>
          <w:tab w:val="left" w:pos="630"/>
        </w:tabs>
        <w:rPr>
          <w:rFonts w:ascii="Georgia" w:hAnsi="Georgia"/>
          <w:bCs/>
        </w:rPr>
      </w:pPr>
      <w:r>
        <w:rPr>
          <w:rFonts w:ascii="Georgia" w:hAnsi="Georgia"/>
          <w:bCs/>
        </w:rPr>
        <w:t>University of Louisville</w:t>
      </w:r>
    </w:p>
    <w:p w14:paraId="35EEE1EC" w14:textId="61FBCB67" w:rsidR="00395A07" w:rsidRDefault="00395A07" w:rsidP="00395A07">
      <w:pPr>
        <w:tabs>
          <w:tab w:val="left" w:pos="630"/>
        </w:tabs>
        <w:rPr>
          <w:rFonts w:ascii="Georgia" w:hAnsi="Georgia"/>
          <w:bCs/>
        </w:rPr>
      </w:pPr>
      <w:hyperlink r:id="rId5" w:history="1">
        <w:r w:rsidRPr="00664E71">
          <w:rPr>
            <w:rStyle w:val="Hyperlink"/>
            <w:rFonts w:ascii="Georgia" w:hAnsi="Georgia"/>
            <w:bCs/>
          </w:rPr>
          <w:t>Abigail.koenig@lousiville.edu</w:t>
        </w:r>
      </w:hyperlink>
    </w:p>
    <w:p w14:paraId="3231544A" w14:textId="0FBD7173" w:rsidR="00395A07" w:rsidRDefault="00395A07" w:rsidP="00395A07">
      <w:pPr>
        <w:tabs>
          <w:tab w:val="left" w:pos="630"/>
        </w:tabs>
        <w:jc w:val="center"/>
        <w:rPr>
          <w:rFonts w:ascii="Georgia" w:hAnsi="Georgia"/>
          <w:bCs/>
        </w:rPr>
      </w:pPr>
    </w:p>
    <w:p w14:paraId="71B5FC53" w14:textId="77777777" w:rsidR="00395A07" w:rsidRPr="00395A07" w:rsidRDefault="00395A07" w:rsidP="00395A07">
      <w:pPr>
        <w:tabs>
          <w:tab w:val="left" w:pos="630"/>
        </w:tabs>
        <w:jc w:val="center"/>
        <w:rPr>
          <w:rFonts w:ascii="Georgia" w:hAnsi="Georgia"/>
          <w:bCs/>
        </w:rPr>
      </w:pPr>
    </w:p>
    <w:p w14:paraId="770AA442" w14:textId="32A4686A" w:rsidR="00395A07" w:rsidRDefault="00395A07" w:rsidP="00395A07">
      <w:pPr>
        <w:tabs>
          <w:tab w:val="left" w:pos="630"/>
        </w:tabs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>Intersectionality and Our Shared Identities</w:t>
      </w:r>
    </w:p>
    <w:p w14:paraId="38EA6044" w14:textId="127BDE42" w:rsidR="00395A07" w:rsidRDefault="00395A07" w:rsidP="00395A07">
      <w:pPr>
        <w:tabs>
          <w:tab w:val="left" w:pos="630"/>
        </w:tabs>
        <w:rPr>
          <w:rFonts w:ascii="Georgia" w:hAnsi="Georgia"/>
        </w:rPr>
      </w:pPr>
    </w:p>
    <w:p w14:paraId="3B183E93" w14:textId="36487185" w:rsidR="00395A07" w:rsidRDefault="00395A07" w:rsidP="00395A07">
      <w:p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  <w:b/>
          <w:bCs/>
        </w:rPr>
        <w:t>Theoretical Overview:</w:t>
      </w:r>
      <w:r>
        <w:rPr>
          <w:rFonts w:ascii="Georgia" w:hAnsi="Georgia"/>
        </w:rPr>
        <w:t xml:space="preserve"> </w:t>
      </w:r>
      <w:r w:rsidRPr="00395A07">
        <w:rPr>
          <w:rFonts w:ascii="Georgia" w:hAnsi="Georgia"/>
        </w:rPr>
        <w:t xml:space="preserve">Intersectionality </w:t>
      </w:r>
      <w:r>
        <w:rPr>
          <w:rFonts w:ascii="Georgia" w:hAnsi="Georgia"/>
        </w:rPr>
        <w:t>i</w:t>
      </w:r>
      <w:r w:rsidRPr="00395A07">
        <w:rPr>
          <w:rFonts w:ascii="Georgia" w:hAnsi="Georgia"/>
        </w:rPr>
        <w:t>s an effort to examine how no one person is simply a member of one particular group and/or cultural identity</w:t>
      </w:r>
      <w:r>
        <w:rPr>
          <w:rFonts w:ascii="Georgia" w:hAnsi="Georgia"/>
        </w:rPr>
        <w:t>:</w:t>
      </w:r>
    </w:p>
    <w:p w14:paraId="7AE75285" w14:textId="77777777" w:rsidR="00395A07" w:rsidRPr="00395A07" w:rsidRDefault="00395A07" w:rsidP="00395A07">
      <w:pPr>
        <w:tabs>
          <w:tab w:val="left" w:pos="630"/>
        </w:tabs>
        <w:rPr>
          <w:rFonts w:ascii="Georgia" w:hAnsi="Georgia"/>
        </w:rPr>
      </w:pPr>
    </w:p>
    <w:p w14:paraId="0EDF1826" w14:textId="77777777" w:rsidR="00395A07" w:rsidRDefault="00395A07" w:rsidP="00395A07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</w:rPr>
        <w:t xml:space="preserve">A concept that helps us generate a deeper, more complex understanding of people’s lives </w:t>
      </w:r>
    </w:p>
    <w:p w14:paraId="3388F517" w14:textId="781308E4" w:rsidR="00395A07" w:rsidRDefault="00395A07" w:rsidP="00395A07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</w:rPr>
        <w:t>Used to understand how race, gender, ability, sexuality, nationality and other cultural elements simultaneously operate to produce a specific person</w:t>
      </w:r>
    </w:p>
    <w:p w14:paraId="2B8A6716" w14:textId="77777777" w:rsidR="00395A07" w:rsidRDefault="00395A07" w:rsidP="00395A07">
      <w:pPr>
        <w:tabs>
          <w:tab w:val="left" w:pos="630"/>
        </w:tabs>
        <w:rPr>
          <w:rFonts w:ascii="Georgia" w:hAnsi="Georgia"/>
        </w:rPr>
      </w:pPr>
    </w:p>
    <w:p w14:paraId="4D558658" w14:textId="650FB46F" w:rsidR="00395A07" w:rsidRDefault="00395A07" w:rsidP="00395A07">
      <w:pPr>
        <w:tabs>
          <w:tab w:val="left" w:pos="630"/>
        </w:tabs>
        <w:rPr>
          <w:rFonts w:ascii="Georgia" w:hAnsi="Georgia"/>
        </w:rPr>
      </w:pPr>
      <w:r>
        <w:rPr>
          <w:rFonts w:ascii="Georgia" w:hAnsi="Georgia"/>
        </w:rPr>
        <w:t>The following is a non-exhaustive list of some of the more salient aspects to our cultural identities:</w:t>
      </w:r>
    </w:p>
    <w:p w14:paraId="434E5AEE" w14:textId="77777777" w:rsidR="00395A07" w:rsidRPr="00395A07" w:rsidRDefault="00395A07" w:rsidP="00395A07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</w:rPr>
        <w:t>Abilities</w:t>
      </w:r>
    </w:p>
    <w:p w14:paraId="1F29E699" w14:textId="455F20BC" w:rsidR="00395A07" w:rsidRPr="00395A07" w:rsidRDefault="00395A07" w:rsidP="00395A07">
      <w:pPr>
        <w:pStyle w:val="ListParagraph"/>
        <w:numPr>
          <w:ilvl w:val="1"/>
          <w:numId w:val="3"/>
        </w:numPr>
        <w:tabs>
          <w:tab w:val="left" w:pos="630"/>
        </w:tabs>
        <w:rPr>
          <w:rFonts w:ascii="Georgia" w:hAnsi="Georgia"/>
        </w:rPr>
      </w:pPr>
      <w:r>
        <w:rPr>
          <w:rFonts w:ascii="Georgia" w:hAnsi="Georgia"/>
        </w:rPr>
        <w:t>Able-bodied vs disabled</w:t>
      </w:r>
    </w:p>
    <w:p w14:paraId="25803B33" w14:textId="373F97AD" w:rsidR="00395A07" w:rsidRDefault="00395A07" w:rsidP="00395A07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</w:rPr>
        <w:t>Age</w:t>
      </w:r>
    </w:p>
    <w:p w14:paraId="1DAA9CD2" w14:textId="708B3644" w:rsidR="00395A07" w:rsidRPr="00395A07" w:rsidRDefault="00395A07" w:rsidP="00395A07">
      <w:pPr>
        <w:pStyle w:val="ListParagraph"/>
        <w:numPr>
          <w:ilvl w:val="1"/>
          <w:numId w:val="3"/>
        </w:numPr>
        <w:tabs>
          <w:tab w:val="left" w:pos="630"/>
        </w:tabs>
        <w:rPr>
          <w:rFonts w:ascii="Georgia" w:hAnsi="Georgia"/>
        </w:rPr>
      </w:pPr>
      <w:r>
        <w:rPr>
          <w:rFonts w:ascii="Georgia" w:hAnsi="Georgia"/>
        </w:rPr>
        <w:t>Feelings of ageism</w:t>
      </w:r>
    </w:p>
    <w:p w14:paraId="19F794F1" w14:textId="6D77B86A" w:rsidR="00395A07" w:rsidRDefault="00395A07" w:rsidP="00395A07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</w:rPr>
        <w:t xml:space="preserve">Gender </w:t>
      </w:r>
    </w:p>
    <w:p w14:paraId="24EABED5" w14:textId="626CC419" w:rsidR="00395A07" w:rsidRPr="00395A07" w:rsidRDefault="00395A07" w:rsidP="00395A07">
      <w:pPr>
        <w:pStyle w:val="ListParagraph"/>
        <w:numPr>
          <w:ilvl w:val="1"/>
          <w:numId w:val="3"/>
        </w:numPr>
        <w:tabs>
          <w:tab w:val="left" w:pos="630"/>
        </w:tabs>
        <w:rPr>
          <w:rFonts w:ascii="Georgia" w:hAnsi="Georgia"/>
        </w:rPr>
      </w:pPr>
      <w:r>
        <w:rPr>
          <w:rFonts w:ascii="Georgia" w:hAnsi="Georgia"/>
        </w:rPr>
        <w:t>Transgendered, non-binary, cis-gendered</w:t>
      </w:r>
    </w:p>
    <w:p w14:paraId="4A199FBE" w14:textId="77777777" w:rsidR="00395A07" w:rsidRPr="00395A07" w:rsidRDefault="00395A07" w:rsidP="00395A07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</w:rPr>
        <w:t>Nationality and transnationalism</w:t>
      </w:r>
    </w:p>
    <w:p w14:paraId="54120CB8" w14:textId="30A7DEF8" w:rsidR="00395A07" w:rsidRPr="00395A07" w:rsidRDefault="00395A07" w:rsidP="00395A07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</w:rPr>
        <w:t xml:space="preserve">Sexual Orientation </w:t>
      </w:r>
    </w:p>
    <w:p w14:paraId="537EE0BC" w14:textId="33219481" w:rsidR="00395A07" w:rsidRPr="00395A07" w:rsidRDefault="00395A07" w:rsidP="00395A07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</w:rPr>
        <w:t xml:space="preserve">Socioeconomic Status </w:t>
      </w:r>
    </w:p>
    <w:p w14:paraId="458069BC" w14:textId="4AE6918E" w:rsidR="00395A07" w:rsidRDefault="00395A07" w:rsidP="00395A07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/>
        </w:rPr>
      </w:pPr>
      <w:r w:rsidRPr="00395A07">
        <w:rPr>
          <w:rFonts w:ascii="Georgia" w:hAnsi="Georgia"/>
        </w:rPr>
        <w:t xml:space="preserve">Spirituality </w:t>
      </w:r>
    </w:p>
    <w:p w14:paraId="0A6AC669" w14:textId="7A4CB4EF" w:rsidR="00395A07" w:rsidRDefault="00395A07" w:rsidP="00395A07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/>
        </w:rPr>
      </w:pPr>
      <w:r>
        <w:rPr>
          <w:rFonts w:ascii="Georgia" w:hAnsi="Georgia"/>
        </w:rPr>
        <w:t>Education level</w:t>
      </w:r>
    </w:p>
    <w:p w14:paraId="6BC62A29" w14:textId="4DC31290" w:rsidR="00395A07" w:rsidRDefault="00395A07" w:rsidP="00395A07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/>
        </w:rPr>
      </w:pPr>
      <w:r>
        <w:rPr>
          <w:rFonts w:ascii="Georgia" w:hAnsi="Georgia"/>
        </w:rPr>
        <w:t>Regionalism/geographic influences</w:t>
      </w:r>
      <w:bookmarkStart w:id="0" w:name="_GoBack"/>
      <w:bookmarkEnd w:id="0"/>
    </w:p>
    <w:p w14:paraId="175F1FCD" w14:textId="77777777" w:rsidR="00395A07" w:rsidRPr="00395A07" w:rsidRDefault="00395A07" w:rsidP="00395A07">
      <w:pPr>
        <w:tabs>
          <w:tab w:val="left" w:pos="630"/>
        </w:tabs>
        <w:rPr>
          <w:rFonts w:ascii="Georgia" w:hAnsi="Georgia"/>
        </w:rPr>
      </w:pPr>
    </w:p>
    <w:p w14:paraId="5421298A" w14:textId="2689F7B1" w:rsidR="00395A07" w:rsidRPr="00395A07" w:rsidRDefault="00395A07" w:rsidP="00395A07">
      <w:pPr>
        <w:tabs>
          <w:tab w:val="left" w:pos="630"/>
        </w:tabs>
        <w:rPr>
          <w:rFonts w:ascii="Georgia" w:hAnsi="Georgia"/>
          <w:b/>
          <w:bCs/>
        </w:rPr>
      </w:pPr>
      <w:r w:rsidRPr="00395A07">
        <w:rPr>
          <w:rFonts w:ascii="Georgia" w:hAnsi="Georgia"/>
          <w:b/>
          <w:bCs/>
        </w:rPr>
        <w:t>Activity</w:t>
      </w:r>
      <w:r>
        <w:rPr>
          <w:rFonts w:ascii="Georgia" w:hAnsi="Georgia"/>
          <w:b/>
          <w:bCs/>
        </w:rPr>
        <w:t xml:space="preserve">: </w:t>
      </w:r>
      <w:r w:rsidRPr="00F10F5F">
        <w:rPr>
          <w:rFonts w:ascii="Georgia" w:hAnsi="Georgia"/>
        </w:rPr>
        <w:t>For this activity, students need index car</w:t>
      </w:r>
      <w:r>
        <w:rPr>
          <w:rFonts w:ascii="Georgia" w:hAnsi="Georgia"/>
        </w:rPr>
        <w:t xml:space="preserve">ds.  </w:t>
      </w:r>
      <w:r>
        <w:rPr>
          <w:rFonts w:ascii="Georgia" w:hAnsi="Georgia"/>
        </w:rPr>
        <w:br/>
        <w:t>Prior to</w:t>
      </w:r>
      <w:r>
        <w:rPr>
          <w:rFonts w:ascii="Georgia" w:hAnsi="Georgia"/>
        </w:rPr>
        <w:t xml:space="preserve"> class students </w:t>
      </w:r>
      <w:r w:rsidRPr="00F10F5F">
        <w:rPr>
          <w:rFonts w:ascii="Georgia" w:hAnsi="Georgia"/>
        </w:rPr>
        <w:t xml:space="preserve">need to list on each card one aspect of their cultural identity (e.g., on one card a student would list “Female” and on a second card list “Latino-American”). </w:t>
      </w:r>
      <w:r>
        <w:rPr>
          <w:rFonts w:ascii="Georgia" w:hAnsi="Georgia"/>
        </w:rPr>
        <w:t>S</w:t>
      </w:r>
      <w:r w:rsidRPr="00F10F5F">
        <w:rPr>
          <w:rFonts w:ascii="Georgia" w:hAnsi="Georgia"/>
        </w:rPr>
        <w:t>tudents to use as many cards as they need to thoroughly identify who they are</w:t>
      </w:r>
      <w:r>
        <w:rPr>
          <w:rFonts w:ascii="Georgia" w:hAnsi="Georgia"/>
        </w:rPr>
        <w:t xml:space="preserve">; the more the better. </w:t>
      </w:r>
    </w:p>
    <w:p w14:paraId="1302C3C0" w14:textId="77777777" w:rsidR="00395A07" w:rsidRDefault="00395A07" w:rsidP="00395A07">
      <w:pPr>
        <w:tabs>
          <w:tab w:val="left" w:pos="630"/>
        </w:tabs>
        <w:rPr>
          <w:rFonts w:ascii="Georgia" w:hAnsi="Georgia"/>
        </w:rPr>
      </w:pPr>
    </w:p>
    <w:p w14:paraId="3D24B9D0" w14:textId="4592365C" w:rsidR="00395A07" w:rsidRDefault="00395A07" w:rsidP="00395A07">
      <w:pPr>
        <w:tabs>
          <w:tab w:val="left" w:pos="630"/>
        </w:tabs>
        <w:rPr>
          <w:rFonts w:ascii="Georgia" w:hAnsi="Georgia"/>
        </w:rPr>
      </w:pPr>
      <w:r w:rsidRPr="00F10F5F">
        <w:rPr>
          <w:rFonts w:ascii="Georgia" w:hAnsi="Georgia"/>
        </w:rPr>
        <w:t>During the next class, students should bring their cards.  They should</w:t>
      </w:r>
      <w:r>
        <w:rPr>
          <w:rFonts w:ascii="Georgia" w:hAnsi="Georgia"/>
        </w:rPr>
        <w:t xml:space="preserve"> walk around the classroom and</w:t>
      </w:r>
      <w:r w:rsidRPr="00F10F5F">
        <w:rPr>
          <w:rFonts w:ascii="Georgia" w:hAnsi="Georgia"/>
        </w:rPr>
        <w:t xml:space="preserve"> match up each identity with the other students who also share those identities. </w:t>
      </w:r>
      <w:r>
        <w:rPr>
          <w:rFonts w:ascii="Georgia" w:hAnsi="Georgia"/>
        </w:rPr>
        <w:t xml:space="preserve">Once matched, students are encouraged to have a discussion about these shared identity traits. </w:t>
      </w:r>
      <w:r w:rsidRPr="00F10F5F">
        <w:rPr>
          <w:rFonts w:ascii="Georgia" w:hAnsi="Georgia"/>
        </w:rPr>
        <w:t xml:space="preserve"> </w:t>
      </w:r>
    </w:p>
    <w:p w14:paraId="299B4393" w14:textId="77777777" w:rsidR="00395A07" w:rsidRDefault="00395A07" w:rsidP="00395A07">
      <w:pPr>
        <w:tabs>
          <w:tab w:val="left" w:pos="630"/>
        </w:tabs>
        <w:rPr>
          <w:rFonts w:ascii="Georgia" w:hAnsi="Georgia"/>
        </w:rPr>
      </w:pPr>
    </w:p>
    <w:p w14:paraId="19532CAA" w14:textId="233563E2" w:rsidR="00C04490" w:rsidRPr="00395A07" w:rsidRDefault="00395A07" w:rsidP="00395A07">
      <w:pPr>
        <w:tabs>
          <w:tab w:val="left" w:pos="630"/>
        </w:tabs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Learning Objective: </w:t>
      </w:r>
      <w:r w:rsidRPr="00395A07">
        <w:rPr>
          <w:rFonts w:ascii="Georgia" w:hAnsi="Georgia"/>
        </w:rPr>
        <w:t>This activity should reveal that while some identities are visible and easily recognizable (e.g., perhaps gender), others are less recognizable (e.g., religion</w:t>
      </w:r>
      <w:r w:rsidRPr="00395A07">
        <w:rPr>
          <w:rFonts w:ascii="Georgia" w:hAnsi="Georgia"/>
        </w:rPr>
        <w:t xml:space="preserve"> or disabilities</w:t>
      </w:r>
      <w:r w:rsidRPr="00395A07">
        <w:rPr>
          <w:rFonts w:ascii="Georgia" w:hAnsi="Georgia"/>
        </w:rPr>
        <w:t xml:space="preserve">).  </w:t>
      </w:r>
    </w:p>
    <w:sectPr w:rsidR="00C04490" w:rsidRPr="00395A07" w:rsidSect="0017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3451"/>
    <w:multiLevelType w:val="hybridMultilevel"/>
    <w:tmpl w:val="0944E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02DE5"/>
    <w:multiLevelType w:val="hybridMultilevel"/>
    <w:tmpl w:val="D29A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F0AF4"/>
    <w:multiLevelType w:val="hybridMultilevel"/>
    <w:tmpl w:val="EC6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07"/>
    <w:rsid w:val="00174E46"/>
    <w:rsid w:val="001904CA"/>
    <w:rsid w:val="00395A07"/>
    <w:rsid w:val="00F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8C40B"/>
  <w15:chartTrackingRefBased/>
  <w15:docId w15:val="{48BC3351-EB73-B24A-A5D6-61C6054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qFormat/>
    <w:rsid w:val="001904CA"/>
    <w:pPr>
      <w:tabs>
        <w:tab w:val="right" w:leader="dot" w:pos="8630"/>
      </w:tabs>
      <w:spacing w:line="259" w:lineRule="auto"/>
      <w:ind w:left="440" w:hanging="440"/>
    </w:pPr>
    <w:rPr>
      <w:szCs w:val="20"/>
    </w:rPr>
  </w:style>
  <w:style w:type="character" w:styleId="Hyperlink">
    <w:name w:val="Hyperlink"/>
    <w:basedOn w:val="DefaultParagraphFont"/>
    <w:uiPriority w:val="99"/>
    <w:unhideWhenUsed/>
    <w:qFormat/>
    <w:rsid w:val="001904C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position w:val="0"/>
      <w:sz w:val="24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395A0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95A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A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7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06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182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79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612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87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46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1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08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5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30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458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gail.koenig@lousi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Abigail</dc:creator>
  <cp:keywords/>
  <dc:description/>
  <cp:lastModifiedBy>Koenig, Abigail</cp:lastModifiedBy>
  <cp:revision>1</cp:revision>
  <dcterms:created xsi:type="dcterms:W3CDTF">2019-10-11T02:36:00Z</dcterms:created>
  <dcterms:modified xsi:type="dcterms:W3CDTF">2019-10-11T02:50:00Z</dcterms:modified>
</cp:coreProperties>
</file>