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0C07" w14:textId="08102E12" w:rsidR="001D7E03" w:rsidRPr="00815DD5" w:rsidRDefault="001D7E03" w:rsidP="001D7E03">
      <w:pPr>
        <w:rPr>
          <w:rFonts w:ascii="Garamond" w:hAnsi="Garamond"/>
          <w:b/>
          <w:bCs/>
          <w:color w:val="0070C0"/>
        </w:rPr>
      </w:pPr>
      <w:r w:rsidRPr="00815DD5">
        <w:rPr>
          <w:rFonts w:ascii="Garamond" w:hAnsi="Garamond"/>
          <w:b/>
          <w:bCs/>
          <w:color w:val="0070C0"/>
        </w:rPr>
        <w:t>Brian Hentz, Ph.D.</w:t>
      </w:r>
      <w:r w:rsidRPr="00815DD5">
        <w:rPr>
          <w:rFonts w:ascii="Garamond" w:hAnsi="Garamond"/>
          <w:b/>
          <w:bCs/>
          <w:color w:val="0070C0"/>
        </w:rPr>
        <w:tab/>
      </w:r>
      <w:r w:rsidRPr="00815DD5">
        <w:rPr>
          <w:rFonts w:ascii="Garamond" w:hAnsi="Garamond"/>
          <w:b/>
          <w:bCs/>
          <w:color w:val="0070C0"/>
        </w:rPr>
        <w:tab/>
      </w:r>
      <w:r w:rsidRPr="00815DD5">
        <w:rPr>
          <w:rFonts w:ascii="Garamond" w:hAnsi="Garamond"/>
          <w:b/>
          <w:bCs/>
          <w:color w:val="0070C0"/>
        </w:rPr>
        <w:tab/>
      </w:r>
      <w:r w:rsidRPr="00815DD5">
        <w:rPr>
          <w:rFonts w:ascii="Garamond" w:hAnsi="Garamond"/>
          <w:b/>
          <w:bCs/>
          <w:color w:val="0070C0"/>
        </w:rPr>
        <w:tab/>
        <w:t>“How Do You Teach Diversity?” Assignment</w:t>
      </w:r>
    </w:p>
    <w:p w14:paraId="6EDBD72C" w14:textId="53F77A28" w:rsidR="001D7E03" w:rsidRPr="00815DD5" w:rsidRDefault="001D7E03">
      <w:pPr>
        <w:pBdr>
          <w:bottom w:val="single" w:sz="12" w:space="1" w:color="auto"/>
        </w:pBdr>
        <w:rPr>
          <w:rFonts w:ascii="Garamond" w:hAnsi="Garamond"/>
          <w:b/>
          <w:bCs/>
          <w:color w:val="0070C0"/>
        </w:rPr>
      </w:pPr>
      <w:r w:rsidRPr="00815DD5">
        <w:rPr>
          <w:rFonts w:ascii="Garamond" w:hAnsi="Garamond"/>
          <w:b/>
          <w:bCs/>
          <w:color w:val="0070C0"/>
        </w:rPr>
        <w:t>University of Connecticut</w:t>
      </w:r>
      <w:r w:rsidRPr="00815DD5">
        <w:rPr>
          <w:rFonts w:ascii="Garamond" w:hAnsi="Garamond"/>
          <w:b/>
          <w:bCs/>
          <w:color w:val="0070C0"/>
        </w:rPr>
        <w:tab/>
      </w:r>
      <w:r w:rsidRPr="00815DD5">
        <w:rPr>
          <w:rFonts w:ascii="Garamond" w:hAnsi="Garamond"/>
          <w:b/>
          <w:bCs/>
          <w:color w:val="0070C0"/>
        </w:rPr>
        <w:tab/>
      </w:r>
      <w:r w:rsidRPr="00815DD5">
        <w:rPr>
          <w:rFonts w:ascii="Garamond" w:hAnsi="Garamond"/>
          <w:b/>
          <w:bCs/>
          <w:color w:val="0070C0"/>
        </w:rPr>
        <w:tab/>
        <w:t>Association for Business Communication 2019</w:t>
      </w:r>
    </w:p>
    <w:p w14:paraId="471B0884" w14:textId="73228119" w:rsidR="001D7E03" w:rsidRPr="00815DD5" w:rsidRDefault="001D7E03">
      <w:pPr>
        <w:rPr>
          <w:rFonts w:ascii="Garamond" w:hAnsi="Garamond"/>
          <w:b/>
          <w:bCs/>
          <w:color w:val="0070C0"/>
        </w:rPr>
      </w:pPr>
    </w:p>
    <w:p w14:paraId="0DBF916C" w14:textId="46716532" w:rsidR="001D7E03" w:rsidRDefault="001D7E03">
      <w:pPr>
        <w:rPr>
          <w:rFonts w:ascii="Garamond" w:hAnsi="Garamond"/>
        </w:rPr>
      </w:pPr>
      <w:r w:rsidRPr="00815DD5">
        <w:rPr>
          <w:rFonts w:ascii="Garamond" w:hAnsi="Garamond"/>
          <w:b/>
          <w:bCs/>
          <w:color w:val="002060"/>
          <w:u w:val="single"/>
        </w:rPr>
        <w:t>Assignment</w:t>
      </w:r>
      <w:r w:rsidRPr="00815DD5">
        <w:rPr>
          <w:rFonts w:ascii="Garamond" w:hAnsi="Garamond"/>
        </w:rPr>
        <w:t xml:space="preserve">: </w:t>
      </w:r>
      <w:r w:rsidRPr="00815DD5">
        <w:rPr>
          <w:rFonts w:ascii="Cambria" w:hAnsi="Cambria"/>
          <w:i/>
          <w:iCs/>
          <w:sz w:val="22"/>
          <w:szCs w:val="22"/>
        </w:rPr>
        <w:t>‘Aging Literacy’</w:t>
      </w:r>
      <w:r w:rsidR="00815DD5" w:rsidRPr="00815DD5">
        <w:rPr>
          <w:rFonts w:ascii="Cambria" w:hAnsi="Cambria"/>
          <w:i/>
          <w:iCs/>
          <w:sz w:val="22"/>
          <w:szCs w:val="22"/>
        </w:rPr>
        <w:t xml:space="preserve"> for Culturally Competent Professionals: An Introduction</w:t>
      </w:r>
      <w:r>
        <w:rPr>
          <w:rFonts w:ascii="Garamond" w:hAnsi="Garamond"/>
        </w:rPr>
        <w:t xml:space="preserve"> </w:t>
      </w:r>
    </w:p>
    <w:p w14:paraId="75EA8376" w14:textId="40C24732" w:rsidR="001D7E03" w:rsidRDefault="001D7E03">
      <w:pPr>
        <w:rPr>
          <w:rFonts w:ascii="Garamond" w:hAnsi="Garamond"/>
        </w:rPr>
      </w:pPr>
    </w:p>
    <w:p w14:paraId="1895B730" w14:textId="031A2BF1" w:rsidR="001D7E03" w:rsidRPr="0075658D" w:rsidRDefault="00815DD5" w:rsidP="001D7E03">
      <w:pPr>
        <w:pBdr>
          <w:top w:val="single" w:sz="4" w:space="1" w:color="auto"/>
          <w:left w:val="single" w:sz="4" w:space="4" w:color="auto"/>
          <w:bottom w:val="single" w:sz="4" w:space="1" w:color="auto"/>
          <w:right w:val="single" w:sz="4" w:space="4" w:color="auto"/>
        </w:pBdr>
        <w:rPr>
          <w:rFonts w:ascii="Garamond" w:hAnsi="Garamond"/>
          <w:sz w:val="22"/>
          <w:szCs w:val="22"/>
        </w:rPr>
      </w:pPr>
      <w:r w:rsidRPr="0075658D">
        <w:rPr>
          <w:rFonts w:ascii="Garamond" w:hAnsi="Garamond"/>
          <w:sz w:val="22"/>
          <w:szCs w:val="22"/>
        </w:rPr>
        <w:t xml:space="preserve">I use this exploratory assignment—comprised on an in-class activity and out-of-class writing assignment—to </w:t>
      </w:r>
      <w:r w:rsidR="00556ACB" w:rsidRPr="0075658D">
        <w:rPr>
          <w:rFonts w:ascii="Garamond" w:hAnsi="Garamond"/>
          <w:sz w:val="22"/>
          <w:szCs w:val="22"/>
        </w:rPr>
        <w:t>introduce</w:t>
      </w:r>
      <w:r w:rsidRPr="0075658D">
        <w:rPr>
          <w:rFonts w:ascii="Garamond" w:hAnsi="Garamond"/>
          <w:sz w:val="22"/>
          <w:szCs w:val="22"/>
        </w:rPr>
        <w:t xml:space="preserve"> a unit on interpersonal communication and cultural competence in my undergraduate Business Communication class. </w:t>
      </w:r>
      <w:r w:rsidR="00556ACB" w:rsidRPr="0075658D">
        <w:rPr>
          <w:rFonts w:ascii="Garamond" w:hAnsi="Garamond"/>
          <w:sz w:val="22"/>
          <w:szCs w:val="22"/>
        </w:rPr>
        <w:t xml:space="preserve">Specifically, I use “cultural competence” here to refer to an awareness of one’s own cultural identity (i.e., tacit rules, norms, and values that govern meaning making) and the ability to learn from and collaborate with others who share different </w:t>
      </w:r>
      <w:r w:rsidR="0075658D" w:rsidRPr="0075658D">
        <w:rPr>
          <w:rFonts w:ascii="Garamond" w:hAnsi="Garamond"/>
          <w:sz w:val="22"/>
          <w:szCs w:val="22"/>
        </w:rPr>
        <w:t>cultural identities.</w:t>
      </w:r>
      <w:r w:rsidR="00556ACB" w:rsidRPr="0075658D">
        <w:rPr>
          <w:rFonts w:ascii="Garamond" w:hAnsi="Garamond"/>
          <w:sz w:val="22"/>
          <w:szCs w:val="22"/>
        </w:rPr>
        <w:t xml:space="preserve">  </w:t>
      </w:r>
    </w:p>
    <w:p w14:paraId="4396096E" w14:textId="5C7BD54A" w:rsidR="001D7E03" w:rsidRDefault="001D7E03" w:rsidP="001D7E03">
      <w:pPr>
        <w:tabs>
          <w:tab w:val="left" w:pos="915"/>
        </w:tabs>
        <w:rPr>
          <w:rFonts w:ascii="Garamond" w:hAnsi="Garamond"/>
        </w:rPr>
      </w:pPr>
      <w:r>
        <w:rPr>
          <w:rFonts w:ascii="Garamond" w:hAnsi="Garamond"/>
        </w:rPr>
        <w:tab/>
      </w:r>
    </w:p>
    <w:p w14:paraId="15B25D1D" w14:textId="1996C800" w:rsidR="001D7E03" w:rsidRPr="00815DD5" w:rsidRDefault="001D7E03" w:rsidP="001D7E03">
      <w:pPr>
        <w:tabs>
          <w:tab w:val="left" w:pos="915"/>
        </w:tabs>
        <w:rPr>
          <w:rFonts w:ascii="Garamond" w:hAnsi="Garamond"/>
          <w:b/>
          <w:bCs/>
          <w:i/>
          <w:iCs/>
          <w:color w:val="0070C0"/>
        </w:rPr>
      </w:pPr>
      <w:r w:rsidRPr="00815DD5">
        <w:rPr>
          <w:rFonts w:ascii="Garamond" w:hAnsi="Garamond"/>
          <w:b/>
          <w:bCs/>
          <w:i/>
          <w:iCs/>
          <w:color w:val="0070C0"/>
        </w:rPr>
        <w:t>Anticipatory Set (Priming)</w:t>
      </w:r>
    </w:p>
    <w:p w14:paraId="774C0A1C" w14:textId="223539A0" w:rsidR="0075658D" w:rsidRDefault="00E16B43" w:rsidP="001D7E03">
      <w:pPr>
        <w:tabs>
          <w:tab w:val="left" w:pos="915"/>
        </w:tabs>
        <w:rPr>
          <w:rFonts w:ascii="Garamond" w:hAnsi="Garamond"/>
        </w:rPr>
      </w:pPr>
      <w:r>
        <w:rPr>
          <w:rFonts w:ascii="Garamond" w:hAnsi="Garamond"/>
        </w:rPr>
        <w:t xml:space="preserve">The in-class activity consists of 2 parts. First, students in pairs complete the “Whose Line is It, Anyway?” portion. To do so, student pairs circulate around the room to read a series of phrases that I post around the room (see back of </w:t>
      </w:r>
      <w:r w:rsidR="00416380">
        <w:rPr>
          <w:rFonts w:ascii="Garamond" w:hAnsi="Garamond"/>
        </w:rPr>
        <w:t xml:space="preserve">this </w:t>
      </w:r>
      <w:r>
        <w:rPr>
          <w:rFonts w:ascii="Garamond" w:hAnsi="Garamond"/>
        </w:rPr>
        <w:t>sheet for reference). For each phrase, students are encouraged to identify who they thought might have said the phrase. If they believe the phrase was said by a younger adult about an older adult, then they write “OA” on a sheet that the student pair creates. Conversely, if they believe the phrase was said by an older adult about a younger adult, then they write “YA” on their sheet.</w:t>
      </w:r>
    </w:p>
    <w:p w14:paraId="3FDB2329" w14:textId="54E0ADB7" w:rsidR="00E16B43" w:rsidRDefault="00E16B43" w:rsidP="001D7E03">
      <w:pPr>
        <w:tabs>
          <w:tab w:val="left" w:pos="915"/>
        </w:tabs>
        <w:rPr>
          <w:rFonts w:ascii="Garamond" w:hAnsi="Garamond"/>
        </w:rPr>
      </w:pPr>
    </w:p>
    <w:p w14:paraId="4A752CCE" w14:textId="61C552B0" w:rsidR="00E16B43" w:rsidRDefault="00416380" w:rsidP="001D7E03">
      <w:pPr>
        <w:tabs>
          <w:tab w:val="left" w:pos="915"/>
        </w:tabs>
        <w:rPr>
          <w:rFonts w:ascii="Garamond" w:hAnsi="Garamond"/>
        </w:rPr>
      </w:pPr>
      <w:r>
        <w:rPr>
          <w:rFonts w:ascii="Garamond" w:hAnsi="Garamond"/>
        </w:rPr>
        <w:t xml:space="preserve">Students then complete the second part of this activity (wait to discuss responses to both parts of activity until students complete this second part). In this activity titled “Would You </w:t>
      </w:r>
      <w:proofErr w:type="gramStart"/>
      <w:r>
        <w:rPr>
          <w:rFonts w:ascii="Garamond" w:hAnsi="Garamond"/>
        </w:rPr>
        <w:t>Approve?,</w:t>
      </w:r>
      <w:proofErr w:type="gramEnd"/>
      <w:r>
        <w:rPr>
          <w:rFonts w:ascii="Garamond" w:hAnsi="Garamond"/>
        </w:rPr>
        <w:t>” students answer “yes” or “no” to a series of statements that I provide on a separate sheet (see back of this sheet for reference) and are encouraged to justify their responses.</w:t>
      </w:r>
    </w:p>
    <w:p w14:paraId="6A020AD1" w14:textId="6EF069B7" w:rsidR="00416380" w:rsidRDefault="00416380" w:rsidP="001D7E03">
      <w:pPr>
        <w:tabs>
          <w:tab w:val="left" w:pos="915"/>
        </w:tabs>
        <w:rPr>
          <w:rFonts w:ascii="Garamond" w:hAnsi="Garamond"/>
        </w:rPr>
      </w:pPr>
    </w:p>
    <w:p w14:paraId="18149355" w14:textId="02070B34" w:rsidR="00416380" w:rsidRPr="00416380" w:rsidRDefault="00416380" w:rsidP="00416380">
      <w:pPr>
        <w:tabs>
          <w:tab w:val="left" w:pos="915"/>
        </w:tabs>
        <w:rPr>
          <w:rFonts w:ascii="Garamond" w:hAnsi="Garamond"/>
        </w:rPr>
      </w:pPr>
      <w:r>
        <w:rPr>
          <w:rFonts w:ascii="Garamond" w:hAnsi="Garamond"/>
        </w:rPr>
        <w:tab/>
      </w:r>
      <w:r>
        <w:rPr>
          <w:rFonts w:ascii="Garamond" w:hAnsi="Garamond"/>
        </w:rPr>
        <w:tab/>
      </w:r>
      <w:r>
        <w:rPr>
          <w:rFonts w:ascii="Garamond" w:hAnsi="Garamond"/>
        </w:rPr>
        <w:tab/>
      </w:r>
      <w:r w:rsidRPr="00416380">
        <w:rPr>
          <w:rFonts w:ascii="Garamond" w:hAnsi="Garamond"/>
        </w:rPr>
        <w:t>*</w:t>
      </w:r>
      <w:r w:rsidRPr="00416380">
        <w:rPr>
          <w:rFonts w:ascii="Garamond" w:hAnsi="Garamond"/>
        </w:rPr>
        <w:tab/>
      </w:r>
      <w:r w:rsidRPr="00416380">
        <w:rPr>
          <w:rFonts w:ascii="Garamond" w:hAnsi="Garamond"/>
        </w:rPr>
        <w:tab/>
      </w:r>
      <w:r w:rsidRPr="00416380">
        <w:rPr>
          <w:rFonts w:ascii="Garamond" w:hAnsi="Garamond"/>
        </w:rPr>
        <w:tab/>
        <w:t>*</w:t>
      </w:r>
      <w:r w:rsidRPr="00416380">
        <w:rPr>
          <w:rFonts w:ascii="Garamond" w:hAnsi="Garamond"/>
        </w:rPr>
        <w:tab/>
      </w:r>
      <w:r w:rsidRPr="00416380">
        <w:rPr>
          <w:rFonts w:ascii="Garamond" w:hAnsi="Garamond"/>
        </w:rPr>
        <w:tab/>
      </w:r>
      <w:r w:rsidRPr="00416380">
        <w:rPr>
          <w:rFonts w:ascii="Garamond" w:hAnsi="Garamond"/>
        </w:rPr>
        <w:tab/>
        <w:t>*</w:t>
      </w:r>
    </w:p>
    <w:p w14:paraId="408750D8" w14:textId="225414E8" w:rsidR="00416380" w:rsidRDefault="00416380" w:rsidP="001D7E03">
      <w:pPr>
        <w:tabs>
          <w:tab w:val="left" w:pos="915"/>
        </w:tabs>
        <w:rPr>
          <w:rFonts w:ascii="Garamond" w:hAnsi="Garamond"/>
          <w:i/>
          <w:iCs/>
        </w:rPr>
      </w:pPr>
      <w:r>
        <w:rPr>
          <w:rFonts w:ascii="Garamond" w:hAnsi="Garamond"/>
        </w:rPr>
        <w:t xml:space="preserve">I then facilitate a class discussion with respect to students’ responses and reactions to this 2-part activity. Key questions include: </w:t>
      </w:r>
      <w:r>
        <w:rPr>
          <w:rFonts w:ascii="Garamond" w:hAnsi="Garamond"/>
          <w:i/>
          <w:iCs/>
        </w:rPr>
        <w:t>What is “old?” What age do you consider to be “old?” How do you think you learned to carry these assumptions?</w:t>
      </w:r>
    </w:p>
    <w:p w14:paraId="0EB2D755" w14:textId="7DFBA38E" w:rsidR="00416380" w:rsidRDefault="00416380" w:rsidP="001D7E03">
      <w:pPr>
        <w:tabs>
          <w:tab w:val="left" w:pos="915"/>
        </w:tabs>
        <w:rPr>
          <w:rFonts w:ascii="Garamond" w:hAnsi="Garamond"/>
          <w:i/>
          <w:iCs/>
        </w:rPr>
      </w:pPr>
    </w:p>
    <w:p w14:paraId="39BE69F5" w14:textId="1AD41C51" w:rsidR="00416380" w:rsidRPr="00416380" w:rsidRDefault="00416380" w:rsidP="001D7E03">
      <w:pPr>
        <w:tabs>
          <w:tab w:val="left" w:pos="915"/>
        </w:tabs>
        <w:rPr>
          <w:rFonts w:ascii="Garamond" w:hAnsi="Garamond"/>
        </w:rPr>
      </w:pPr>
      <w:r>
        <w:rPr>
          <w:rFonts w:ascii="Garamond" w:hAnsi="Garamond"/>
        </w:rPr>
        <w:t>As a segue, I then have students view the following AARP video: “</w:t>
      </w:r>
      <w:proofErr w:type="spellStart"/>
      <w:r>
        <w:rPr>
          <w:rFonts w:ascii="Garamond" w:hAnsi="Garamond"/>
        </w:rPr>
        <w:t>Millenials</w:t>
      </w:r>
      <w:proofErr w:type="spellEnd"/>
      <w:r>
        <w:rPr>
          <w:rFonts w:ascii="Garamond" w:hAnsi="Garamond"/>
        </w:rPr>
        <w:t xml:space="preserve"> Show Us What Old Looks Like” (URL: </w:t>
      </w:r>
      <w:hyperlink r:id="rId5" w:history="1">
        <w:r w:rsidRPr="00680BF5">
          <w:rPr>
            <w:rStyle w:val="Hyperlink"/>
            <w:rFonts w:ascii="Garamond" w:hAnsi="Garamond"/>
          </w:rPr>
          <w:t>https://videos.aarp.org/detail/video/4834178739001/millennials-show-us-what-%E2%80%98old%E2%80%99-looks-like---aarp</w:t>
        </w:r>
      </w:hyperlink>
      <w:r>
        <w:rPr>
          <w:rFonts w:ascii="Garamond" w:hAnsi="Garamond"/>
        </w:rPr>
        <w:t xml:space="preserve">) </w:t>
      </w:r>
      <w:r w:rsidR="004072E0">
        <w:rPr>
          <w:rFonts w:ascii="Garamond" w:hAnsi="Garamond"/>
        </w:rPr>
        <w:t>and ask students to write a brief 1-paragraph summary of what they took away from the video, our discussion, and the in-class activity.</w:t>
      </w:r>
    </w:p>
    <w:p w14:paraId="42943058" w14:textId="77777777" w:rsidR="0075658D" w:rsidRDefault="0075658D" w:rsidP="001D7E03">
      <w:pPr>
        <w:tabs>
          <w:tab w:val="left" w:pos="915"/>
        </w:tabs>
        <w:rPr>
          <w:rFonts w:ascii="Garamond" w:hAnsi="Garamond"/>
        </w:rPr>
      </w:pPr>
    </w:p>
    <w:p w14:paraId="68ADC4CF" w14:textId="3B2CD92C" w:rsidR="001D7E03" w:rsidRDefault="0075658D" w:rsidP="001D7E03">
      <w:pPr>
        <w:tabs>
          <w:tab w:val="left" w:pos="915"/>
        </w:tabs>
        <w:rPr>
          <w:rFonts w:ascii="Garamond" w:hAnsi="Garamond"/>
        </w:rPr>
      </w:pPr>
      <w:r>
        <w:rPr>
          <w:rFonts w:ascii="Garamond" w:hAnsi="Garamond"/>
        </w:rPr>
        <w:tab/>
      </w:r>
    </w:p>
    <w:p w14:paraId="5CDF1FB4" w14:textId="77777777" w:rsidR="004072E0" w:rsidRDefault="001D7E03" w:rsidP="001D7E03">
      <w:pPr>
        <w:tabs>
          <w:tab w:val="left" w:pos="915"/>
        </w:tabs>
        <w:rPr>
          <w:rFonts w:ascii="Garamond" w:hAnsi="Garamond"/>
          <w:i/>
          <w:iCs/>
          <w:color w:val="000000" w:themeColor="text1"/>
        </w:rPr>
      </w:pPr>
      <w:r w:rsidRPr="00815DD5">
        <w:rPr>
          <w:rFonts w:ascii="Garamond" w:hAnsi="Garamond"/>
          <w:b/>
          <w:bCs/>
          <w:i/>
          <w:iCs/>
          <w:color w:val="0070C0"/>
        </w:rPr>
        <w:t xml:space="preserve">Writing </w:t>
      </w:r>
      <w:r w:rsidR="00815DD5">
        <w:rPr>
          <w:rFonts w:ascii="Garamond" w:hAnsi="Garamond"/>
          <w:b/>
          <w:bCs/>
          <w:i/>
          <w:iCs/>
          <w:color w:val="0070C0"/>
        </w:rPr>
        <w:t>Prompt</w:t>
      </w:r>
      <w:r w:rsidR="004072E0">
        <w:rPr>
          <w:rFonts w:ascii="Garamond" w:hAnsi="Garamond"/>
          <w:b/>
          <w:bCs/>
          <w:i/>
          <w:iCs/>
          <w:color w:val="0070C0"/>
        </w:rPr>
        <w:t xml:space="preserve"> (Follow-Up Assignment)</w:t>
      </w:r>
      <w:r w:rsidR="004072E0">
        <w:rPr>
          <w:rFonts w:ascii="Garamond" w:hAnsi="Garamond"/>
          <w:b/>
          <w:bCs/>
          <w:i/>
          <w:iCs/>
          <w:color w:val="0070C0"/>
        </w:rPr>
        <w:br/>
      </w:r>
      <w:r w:rsidR="004072E0">
        <w:rPr>
          <w:rFonts w:ascii="Garamond" w:hAnsi="Garamond"/>
          <w:color w:val="000000" w:themeColor="text1"/>
        </w:rPr>
        <w:t xml:space="preserve">I ask students to locate an article or advertisement in an online publication and explore how the article or advertisement demonstrates “ageism.” To complete the assignment, students must identify the rhetorical framework (e.g., audience, purpose, use) and situate the text in a meaningful context. In their responses, students should explore the following guided questions as well: </w:t>
      </w:r>
      <w:r w:rsidR="004072E0">
        <w:rPr>
          <w:rFonts w:ascii="Garamond" w:hAnsi="Garamond"/>
          <w:i/>
          <w:iCs/>
          <w:color w:val="000000" w:themeColor="text1"/>
        </w:rPr>
        <w:t>What is a</w:t>
      </w:r>
    </w:p>
    <w:p w14:paraId="0CD7AB17" w14:textId="76AD166A" w:rsidR="004072E0" w:rsidRDefault="004072E0" w:rsidP="001D7E03">
      <w:pPr>
        <w:pBdr>
          <w:bottom w:val="single" w:sz="12" w:space="1" w:color="auto"/>
        </w:pBdr>
        <w:tabs>
          <w:tab w:val="left" w:pos="915"/>
        </w:tabs>
        <w:rPr>
          <w:rFonts w:ascii="Garamond" w:hAnsi="Garamond"/>
          <w:i/>
          <w:iCs/>
          <w:color w:val="000000" w:themeColor="text1"/>
        </w:rPr>
      </w:pPr>
      <w:r>
        <w:rPr>
          <w:rFonts w:ascii="Garamond" w:hAnsi="Garamond"/>
          <w:i/>
          <w:iCs/>
          <w:color w:val="000000" w:themeColor="text1"/>
        </w:rPr>
        <w:t>“ageism?” Where does ageism occur? How does society perpetuate ageism?</w:t>
      </w:r>
    </w:p>
    <w:p w14:paraId="1361FCAF" w14:textId="77777777" w:rsidR="004072E0" w:rsidRDefault="004072E0" w:rsidP="001D7E03">
      <w:pPr>
        <w:tabs>
          <w:tab w:val="left" w:pos="915"/>
        </w:tabs>
        <w:rPr>
          <w:rFonts w:ascii="Garamond" w:hAnsi="Garamond"/>
          <w:i/>
          <w:iCs/>
          <w:color w:val="000000" w:themeColor="text1"/>
        </w:rPr>
      </w:pPr>
    </w:p>
    <w:p w14:paraId="6555F276" w14:textId="6ACA12F3" w:rsidR="001D7E03" w:rsidRDefault="004072E0" w:rsidP="001D7E03">
      <w:pPr>
        <w:tabs>
          <w:tab w:val="left" w:pos="915"/>
        </w:tabs>
        <w:rPr>
          <w:rFonts w:ascii="Garamond" w:hAnsi="Garamond"/>
          <w:color w:val="000000" w:themeColor="text1"/>
        </w:rPr>
      </w:pPr>
      <w:r>
        <w:rPr>
          <w:rFonts w:ascii="Garamond" w:hAnsi="Garamond"/>
          <w:color w:val="000000" w:themeColor="text1"/>
        </w:rPr>
        <w:t>In addition to helping students become more reflective practitioners and more responsive to rhetorical elements that underpin professional messages with respect to cultural competence, this activity and</w:t>
      </w:r>
      <w:r>
        <w:rPr>
          <w:rFonts w:ascii="Garamond" w:hAnsi="Garamond"/>
          <w:i/>
          <w:iCs/>
          <w:color w:val="000000" w:themeColor="text1"/>
        </w:rPr>
        <w:t xml:space="preserve"> </w:t>
      </w:r>
      <w:r>
        <w:rPr>
          <w:rFonts w:ascii="Garamond" w:hAnsi="Garamond"/>
          <w:color w:val="000000" w:themeColor="text1"/>
        </w:rPr>
        <w:t xml:space="preserve">follow-up writing activity can then </w:t>
      </w:r>
      <w:r w:rsidR="0019004B">
        <w:rPr>
          <w:rFonts w:ascii="Garamond" w:hAnsi="Garamond"/>
          <w:color w:val="000000" w:themeColor="text1"/>
        </w:rPr>
        <w:t>dovetail into larger, more substantive projects (e.g., business plan) that require a sensitivity to aging-related issues.</w:t>
      </w:r>
    </w:p>
    <w:p w14:paraId="6545EA70" w14:textId="463FB5C3" w:rsidR="00FF2C8D" w:rsidRDefault="00FF2C8D" w:rsidP="001D7E03">
      <w:pPr>
        <w:tabs>
          <w:tab w:val="left" w:pos="915"/>
        </w:tabs>
        <w:rPr>
          <w:rFonts w:ascii="Garamond" w:hAnsi="Garamond"/>
          <w:color w:val="000000" w:themeColor="text1"/>
        </w:rPr>
      </w:pPr>
    </w:p>
    <w:p w14:paraId="152CC2F9" w14:textId="714088B8" w:rsidR="00FF2C8D" w:rsidRDefault="00FF2C8D" w:rsidP="001D7E03">
      <w:pPr>
        <w:tabs>
          <w:tab w:val="left" w:pos="915"/>
        </w:tabs>
        <w:rPr>
          <w:rFonts w:ascii="Garamond" w:hAnsi="Garamond"/>
          <w:color w:val="000000" w:themeColor="text1"/>
        </w:rPr>
      </w:pPr>
    </w:p>
    <w:p w14:paraId="065D70EF" w14:textId="3A4C2384" w:rsidR="00FF2C8D" w:rsidRPr="00FF2C8D" w:rsidRDefault="00FF2C8D" w:rsidP="00FF2C8D">
      <w:pPr>
        <w:tabs>
          <w:tab w:val="left" w:pos="915"/>
        </w:tabs>
        <w:rPr>
          <w:rFonts w:ascii="Garamond" w:hAnsi="Garamond"/>
          <w:b/>
          <w:bCs/>
          <w:color w:val="0070C0"/>
          <w:u w:val="single"/>
        </w:rPr>
      </w:pPr>
      <w:r w:rsidRPr="00FF2C8D">
        <w:rPr>
          <w:rFonts w:ascii="Garamond" w:hAnsi="Garamond"/>
          <w:b/>
          <w:bCs/>
          <w:color w:val="0070C0"/>
          <w:u w:val="single"/>
        </w:rPr>
        <w:t>“Whose Line Is It Anyway?” Prompts</w:t>
      </w:r>
    </w:p>
    <w:p w14:paraId="15FB5473" w14:textId="67A380E6" w:rsidR="00FF2C8D" w:rsidRDefault="00FF2C8D" w:rsidP="00FF2C8D">
      <w:pPr>
        <w:tabs>
          <w:tab w:val="left" w:pos="915"/>
        </w:tabs>
        <w:rPr>
          <w:rFonts w:ascii="Garamond" w:hAnsi="Garamond"/>
          <w:b/>
          <w:bCs/>
          <w:i/>
          <w:iCs/>
          <w:color w:val="0070C0"/>
        </w:rPr>
      </w:pPr>
    </w:p>
    <w:p w14:paraId="0694E794" w14:textId="7F10F8DC" w:rsidR="00C42CEE" w:rsidRDefault="00C42CEE" w:rsidP="00C42CEE">
      <w:pPr>
        <w:pStyle w:val="ListParagraph"/>
        <w:numPr>
          <w:ilvl w:val="0"/>
          <w:numId w:val="3"/>
        </w:numPr>
        <w:tabs>
          <w:tab w:val="left" w:pos="915"/>
        </w:tabs>
        <w:rPr>
          <w:rFonts w:ascii="Garamond" w:hAnsi="Garamond"/>
          <w:color w:val="000000" w:themeColor="text1"/>
        </w:rPr>
      </w:pPr>
      <w:r>
        <w:rPr>
          <w:rFonts w:ascii="Garamond" w:hAnsi="Garamond"/>
          <w:color w:val="000000" w:themeColor="text1"/>
        </w:rPr>
        <w:t>“They always stick together and keep their distance from other age groups.”</w:t>
      </w:r>
    </w:p>
    <w:p w14:paraId="4928155E" w14:textId="14DD0A43" w:rsidR="00C42CEE" w:rsidRDefault="00C42CEE" w:rsidP="00C42CEE">
      <w:pPr>
        <w:pStyle w:val="ListParagraph"/>
        <w:numPr>
          <w:ilvl w:val="0"/>
          <w:numId w:val="3"/>
        </w:numPr>
        <w:tabs>
          <w:tab w:val="left" w:pos="915"/>
        </w:tabs>
        <w:rPr>
          <w:rFonts w:ascii="Garamond" w:hAnsi="Garamond"/>
          <w:color w:val="000000" w:themeColor="text1"/>
        </w:rPr>
      </w:pPr>
      <w:r>
        <w:rPr>
          <w:rFonts w:ascii="Garamond" w:hAnsi="Garamond"/>
          <w:color w:val="000000" w:themeColor="text1"/>
        </w:rPr>
        <w:t>“They’re entitled and they know it.”</w:t>
      </w:r>
    </w:p>
    <w:p w14:paraId="7EDF588B" w14:textId="75A3127F" w:rsidR="00C42CEE" w:rsidRDefault="00C42CEE" w:rsidP="00C42CEE">
      <w:pPr>
        <w:pStyle w:val="ListParagraph"/>
        <w:numPr>
          <w:ilvl w:val="0"/>
          <w:numId w:val="3"/>
        </w:numPr>
        <w:tabs>
          <w:tab w:val="left" w:pos="915"/>
        </w:tabs>
        <w:rPr>
          <w:rFonts w:ascii="Garamond" w:hAnsi="Garamond"/>
          <w:color w:val="000000" w:themeColor="text1"/>
        </w:rPr>
      </w:pPr>
      <w:r>
        <w:rPr>
          <w:rFonts w:ascii="Garamond" w:hAnsi="Garamond"/>
          <w:color w:val="000000" w:themeColor="text1"/>
        </w:rPr>
        <w:t>“They are hazards on the road.”</w:t>
      </w:r>
    </w:p>
    <w:p w14:paraId="38C69E55" w14:textId="25ED3F6A" w:rsidR="00C42CEE" w:rsidRDefault="00C42CEE" w:rsidP="00C42CEE">
      <w:pPr>
        <w:pStyle w:val="ListParagraph"/>
        <w:numPr>
          <w:ilvl w:val="0"/>
          <w:numId w:val="3"/>
        </w:numPr>
        <w:tabs>
          <w:tab w:val="left" w:pos="915"/>
        </w:tabs>
        <w:rPr>
          <w:rFonts w:ascii="Garamond" w:hAnsi="Garamond"/>
          <w:color w:val="000000" w:themeColor="text1"/>
        </w:rPr>
      </w:pPr>
      <w:r>
        <w:rPr>
          <w:rFonts w:ascii="Garamond" w:hAnsi="Garamond"/>
          <w:color w:val="000000" w:themeColor="text1"/>
        </w:rPr>
        <w:t>“They’re always taking and never giving.”</w:t>
      </w:r>
    </w:p>
    <w:p w14:paraId="19A68B7E" w14:textId="2D7E9EAE" w:rsidR="00C42CEE" w:rsidRDefault="00C42CEE" w:rsidP="00C42CEE">
      <w:pPr>
        <w:pStyle w:val="ListParagraph"/>
        <w:numPr>
          <w:ilvl w:val="0"/>
          <w:numId w:val="3"/>
        </w:numPr>
        <w:tabs>
          <w:tab w:val="left" w:pos="915"/>
        </w:tabs>
        <w:rPr>
          <w:rFonts w:ascii="Garamond" w:hAnsi="Garamond"/>
          <w:color w:val="000000" w:themeColor="text1"/>
        </w:rPr>
      </w:pPr>
      <w:r>
        <w:rPr>
          <w:rFonts w:ascii="Garamond" w:hAnsi="Garamond"/>
          <w:color w:val="000000" w:themeColor="text1"/>
        </w:rPr>
        <w:t>“They’re so opinionated; they think they have the answers to everything.”</w:t>
      </w:r>
    </w:p>
    <w:p w14:paraId="6D9A38AC" w14:textId="4B6AA798" w:rsidR="00C42CEE" w:rsidRDefault="00C42CEE" w:rsidP="00C42CEE">
      <w:pPr>
        <w:pStyle w:val="ListParagraph"/>
        <w:numPr>
          <w:ilvl w:val="0"/>
          <w:numId w:val="3"/>
        </w:numPr>
        <w:tabs>
          <w:tab w:val="left" w:pos="915"/>
        </w:tabs>
        <w:rPr>
          <w:rFonts w:ascii="Garamond" w:hAnsi="Garamond"/>
          <w:color w:val="000000" w:themeColor="text1"/>
        </w:rPr>
      </w:pPr>
      <w:r>
        <w:rPr>
          <w:rFonts w:ascii="Garamond" w:hAnsi="Garamond"/>
          <w:color w:val="000000" w:themeColor="text1"/>
        </w:rPr>
        <w:t>“They’re never satisfied, and they always complain about something.”</w:t>
      </w:r>
    </w:p>
    <w:p w14:paraId="55AC4F5B" w14:textId="239BE130" w:rsidR="00C42CEE" w:rsidRDefault="00C42CEE" w:rsidP="00C42CEE">
      <w:pPr>
        <w:pStyle w:val="ListParagraph"/>
        <w:numPr>
          <w:ilvl w:val="0"/>
          <w:numId w:val="3"/>
        </w:numPr>
        <w:tabs>
          <w:tab w:val="left" w:pos="915"/>
        </w:tabs>
        <w:rPr>
          <w:rFonts w:ascii="Garamond" w:hAnsi="Garamond"/>
          <w:color w:val="000000" w:themeColor="text1"/>
        </w:rPr>
      </w:pPr>
      <w:r>
        <w:rPr>
          <w:rFonts w:ascii="Garamond" w:hAnsi="Garamond"/>
          <w:color w:val="000000" w:themeColor="text1"/>
        </w:rPr>
        <w:t>“They’re so forgetful.”</w:t>
      </w:r>
    </w:p>
    <w:p w14:paraId="2E1AB060" w14:textId="362E86C0" w:rsidR="00C42CEE" w:rsidRDefault="00C42CEE" w:rsidP="00C42CEE">
      <w:pPr>
        <w:pStyle w:val="ListParagraph"/>
        <w:numPr>
          <w:ilvl w:val="0"/>
          <w:numId w:val="3"/>
        </w:numPr>
        <w:tabs>
          <w:tab w:val="left" w:pos="915"/>
        </w:tabs>
        <w:rPr>
          <w:rFonts w:ascii="Garamond" w:hAnsi="Garamond"/>
          <w:color w:val="000000" w:themeColor="text1"/>
        </w:rPr>
      </w:pPr>
      <w:r>
        <w:rPr>
          <w:rFonts w:ascii="Garamond" w:hAnsi="Garamond"/>
          <w:color w:val="000000" w:themeColor="text1"/>
        </w:rPr>
        <w:t>“They really need to act their age.”</w:t>
      </w:r>
    </w:p>
    <w:p w14:paraId="31F443B3" w14:textId="23DE07A9" w:rsidR="00C42CEE" w:rsidRPr="00C42CEE" w:rsidRDefault="00C42CEE" w:rsidP="00C42CEE">
      <w:pPr>
        <w:pStyle w:val="ListParagraph"/>
        <w:numPr>
          <w:ilvl w:val="0"/>
          <w:numId w:val="3"/>
        </w:numPr>
        <w:tabs>
          <w:tab w:val="left" w:pos="915"/>
        </w:tabs>
        <w:rPr>
          <w:rFonts w:ascii="Garamond" w:hAnsi="Garamond"/>
          <w:color w:val="000000" w:themeColor="text1"/>
        </w:rPr>
      </w:pPr>
      <w:r>
        <w:rPr>
          <w:rFonts w:ascii="Garamond" w:hAnsi="Garamond"/>
          <w:color w:val="000000" w:themeColor="text1"/>
        </w:rPr>
        <w:t>“You don’t want to hire them.”</w:t>
      </w:r>
    </w:p>
    <w:p w14:paraId="1409F5D0" w14:textId="77777777" w:rsidR="00C42CEE" w:rsidRDefault="00C42CEE" w:rsidP="00FF2C8D">
      <w:pPr>
        <w:tabs>
          <w:tab w:val="left" w:pos="915"/>
        </w:tabs>
        <w:rPr>
          <w:rFonts w:ascii="Garamond" w:hAnsi="Garamond"/>
          <w:b/>
          <w:bCs/>
          <w:i/>
          <w:iCs/>
          <w:color w:val="0070C0"/>
        </w:rPr>
      </w:pPr>
    </w:p>
    <w:p w14:paraId="410A891D" w14:textId="4C3AF161" w:rsidR="00FF2C8D" w:rsidRDefault="00FF2C8D" w:rsidP="00FF2C8D">
      <w:pPr>
        <w:tabs>
          <w:tab w:val="left" w:pos="915"/>
        </w:tabs>
        <w:rPr>
          <w:rFonts w:ascii="Garamond" w:hAnsi="Garamond"/>
          <w:b/>
          <w:bCs/>
          <w:i/>
          <w:iCs/>
          <w:color w:val="0070C0"/>
        </w:rPr>
      </w:pPr>
    </w:p>
    <w:p w14:paraId="0C4AF9E5" w14:textId="660EAD33" w:rsidR="00FF2C8D" w:rsidRPr="00FF2C8D" w:rsidRDefault="00FF2C8D" w:rsidP="00FF2C8D">
      <w:pPr>
        <w:tabs>
          <w:tab w:val="left" w:pos="915"/>
        </w:tabs>
        <w:rPr>
          <w:rFonts w:ascii="Garamond" w:hAnsi="Garamond"/>
          <w:b/>
          <w:bCs/>
          <w:i/>
          <w:iCs/>
          <w:color w:val="0070C0"/>
          <w:u w:val="single"/>
        </w:rPr>
      </w:pPr>
      <w:r>
        <w:rPr>
          <w:rFonts w:ascii="Garamond" w:hAnsi="Garamond"/>
          <w:b/>
          <w:bCs/>
          <w:color w:val="0070C0"/>
          <w:u w:val="single"/>
        </w:rPr>
        <w:t>“</w:t>
      </w:r>
      <w:r w:rsidRPr="00FF2C8D">
        <w:rPr>
          <w:rFonts w:ascii="Garamond" w:hAnsi="Garamond"/>
          <w:b/>
          <w:bCs/>
          <w:color w:val="0070C0"/>
          <w:u w:val="single"/>
        </w:rPr>
        <w:t>Would You Approve?”</w:t>
      </w:r>
      <w:r w:rsidRPr="00FF2C8D">
        <w:rPr>
          <w:rFonts w:ascii="Garamond" w:hAnsi="Garamond"/>
          <w:b/>
          <w:bCs/>
          <w:color w:val="0070C0"/>
          <w:u w:val="single"/>
        </w:rPr>
        <w:t xml:space="preserve"> Prompts</w:t>
      </w:r>
    </w:p>
    <w:p w14:paraId="39B0AE07" w14:textId="3757C8DF" w:rsidR="00FF2C8D" w:rsidRDefault="00C42CEE" w:rsidP="00C42CEE">
      <w:pPr>
        <w:tabs>
          <w:tab w:val="left" w:pos="915"/>
        </w:tabs>
        <w:rPr>
          <w:rFonts w:ascii="Garamond" w:hAnsi="Garamond"/>
          <w:color w:val="0070C0"/>
        </w:rPr>
      </w:pPr>
      <w:r>
        <w:rPr>
          <w:rFonts w:ascii="Garamond" w:hAnsi="Garamond"/>
          <w:color w:val="0070C0"/>
        </w:rPr>
        <w:tab/>
      </w:r>
    </w:p>
    <w:p w14:paraId="3DC1E50F" w14:textId="347A1CA4" w:rsidR="00C42CEE" w:rsidRDefault="00C42CEE" w:rsidP="00C42CEE">
      <w:pPr>
        <w:pStyle w:val="ListParagraph"/>
        <w:numPr>
          <w:ilvl w:val="0"/>
          <w:numId w:val="5"/>
        </w:numPr>
        <w:tabs>
          <w:tab w:val="left" w:pos="915"/>
        </w:tabs>
        <w:rPr>
          <w:rFonts w:ascii="Garamond" w:hAnsi="Garamond"/>
          <w:color w:val="000000" w:themeColor="text1"/>
        </w:rPr>
      </w:pPr>
      <w:r>
        <w:rPr>
          <w:rFonts w:ascii="Garamond" w:hAnsi="Garamond"/>
          <w:color w:val="000000" w:themeColor="text1"/>
        </w:rPr>
        <w:t>Would you approve of a woman who decided to have a child after age 60?</w:t>
      </w:r>
    </w:p>
    <w:p w14:paraId="5CD05676" w14:textId="1B09AD27" w:rsidR="00C42CEE" w:rsidRDefault="00C42CEE" w:rsidP="00C42CEE">
      <w:pPr>
        <w:pStyle w:val="ListParagraph"/>
        <w:numPr>
          <w:ilvl w:val="0"/>
          <w:numId w:val="5"/>
        </w:numPr>
        <w:tabs>
          <w:tab w:val="left" w:pos="915"/>
        </w:tabs>
        <w:rPr>
          <w:rFonts w:ascii="Garamond" w:hAnsi="Garamond"/>
          <w:color w:val="000000" w:themeColor="text1"/>
        </w:rPr>
      </w:pPr>
      <w:r>
        <w:rPr>
          <w:rFonts w:ascii="Garamond" w:hAnsi="Garamond"/>
          <w:color w:val="000000" w:themeColor="text1"/>
        </w:rPr>
        <w:t>Would you approve of a 70-year-old man who fathered a child?</w:t>
      </w:r>
    </w:p>
    <w:p w14:paraId="0BCB4F77" w14:textId="72B7511C" w:rsidR="00C42CEE" w:rsidRDefault="00C42CEE" w:rsidP="00C42CEE">
      <w:pPr>
        <w:pStyle w:val="ListParagraph"/>
        <w:numPr>
          <w:ilvl w:val="0"/>
          <w:numId w:val="5"/>
        </w:numPr>
        <w:tabs>
          <w:tab w:val="left" w:pos="915"/>
        </w:tabs>
        <w:rPr>
          <w:rFonts w:ascii="Garamond" w:hAnsi="Garamond"/>
          <w:color w:val="000000" w:themeColor="text1"/>
        </w:rPr>
      </w:pPr>
      <w:r>
        <w:rPr>
          <w:rFonts w:ascii="Garamond" w:hAnsi="Garamond"/>
          <w:color w:val="000000" w:themeColor="text1"/>
        </w:rPr>
        <w:t>Would you approve of a 25-year-old adult who was wealthy enough to retire?</w:t>
      </w:r>
    </w:p>
    <w:p w14:paraId="7DAF83A6" w14:textId="00E115D3" w:rsidR="00C42CEE" w:rsidRDefault="00C42CEE" w:rsidP="00C42CEE">
      <w:pPr>
        <w:pStyle w:val="ListParagraph"/>
        <w:numPr>
          <w:ilvl w:val="0"/>
          <w:numId w:val="5"/>
        </w:numPr>
        <w:tabs>
          <w:tab w:val="left" w:pos="915"/>
        </w:tabs>
        <w:rPr>
          <w:rFonts w:ascii="Garamond" w:hAnsi="Garamond"/>
          <w:color w:val="000000" w:themeColor="text1"/>
        </w:rPr>
      </w:pPr>
      <w:r>
        <w:rPr>
          <w:rFonts w:ascii="Garamond" w:hAnsi="Garamond"/>
          <w:color w:val="000000" w:themeColor="text1"/>
        </w:rPr>
        <w:t>Would you approve of a 14-year-old college student?</w:t>
      </w:r>
    </w:p>
    <w:p w14:paraId="560EECE8" w14:textId="159A66EA" w:rsidR="00C42CEE" w:rsidRDefault="00C42CEE" w:rsidP="00C42CEE">
      <w:pPr>
        <w:pStyle w:val="ListParagraph"/>
        <w:numPr>
          <w:ilvl w:val="0"/>
          <w:numId w:val="5"/>
        </w:numPr>
        <w:tabs>
          <w:tab w:val="left" w:pos="915"/>
        </w:tabs>
        <w:rPr>
          <w:rFonts w:ascii="Garamond" w:hAnsi="Garamond"/>
          <w:color w:val="000000" w:themeColor="text1"/>
        </w:rPr>
      </w:pPr>
      <w:r>
        <w:rPr>
          <w:rFonts w:ascii="Garamond" w:hAnsi="Garamond"/>
          <w:color w:val="000000" w:themeColor="text1"/>
        </w:rPr>
        <w:t xml:space="preserve">Would you approve of an 82-year-old </w:t>
      </w:r>
      <w:r w:rsidR="00EB1C08">
        <w:rPr>
          <w:rFonts w:ascii="Garamond" w:hAnsi="Garamond"/>
          <w:color w:val="000000" w:themeColor="text1"/>
        </w:rPr>
        <w:t>adult</w:t>
      </w:r>
      <w:bookmarkStart w:id="0" w:name="_GoBack"/>
      <w:bookmarkEnd w:id="0"/>
      <w:r>
        <w:rPr>
          <w:rFonts w:ascii="Garamond" w:hAnsi="Garamond"/>
          <w:color w:val="000000" w:themeColor="text1"/>
        </w:rPr>
        <w:t xml:space="preserve"> who still worked full-time?</w:t>
      </w:r>
    </w:p>
    <w:p w14:paraId="5CD2E923" w14:textId="6C692DC7" w:rsidR="00C42CEE" w:rsidRPr="00C42CEE" w:rsidRDefault="00C42CEE" w:rsidP="00C42CEE">
      <w:pPr>
        <w:pStyle w:val="ListParagraph"/>
        <w:numPr>
          <w:ilvl w:val="0"/>
          <w:numId w:val="5"/>
        </w:numPr>
        <w:tabs>
          <w:tab w:val="left" w:pos="915"/>
        </w:tabs>
        <w:rPr>
          <w:rFonts w:ascii="Garamond" w:hAnsi="Garamond"/>
          <w:color w:val="000000" w:themeColor="text1"/>
        </w:rPr>
      </w:pPr>
      <w:r>
        <w:rPr>
          <w:rFonts w:ascii="Garamond" w:hAnsi="Garamond"/>
          <w:color w:val="000000" w:themeColor="text1"/>
        </w:rPr>
        <w:t>Would you approve of a 90-year-old college student?</w:t>
      </w:r>
    </w:p>
    <w:p w14:paraId="0C471B1D" w14:textId="1EE7ED85" w:rsidR="00FF2C8D" w:rsidRDefault="00FF2C8D" w:rsidP="00FF2C8D">
      <w:pPr>
        <w:tabs>
          <w:tab w:val="left" w:pos="915"/>
        </w:tabs>
        <w:rPr>
          <w:rFonts w:ascii="Garamond" w:hAnsi="Garamond"/>
          <w:b/>
          <w:bCs/>
          <w:i/>
          <w:iCs/>
          <w:color w:val="0070C0"/>
        </w:rPr>
      </w:pPr>
    </w:p>
    <w:p w14:paraId="428FD3D2" w14:textId="22BDE43A" w:rsidR="00FF2C8D" w:rsidRDefault="00FF2C8D" w:rsidP="00FF2C8D">
      <w:pPr>
        <w:tabs>
          <w:tab w:val="left" w:pos="915"/>
        </w:tabs>
        <w:rPr>
          <w:rFonts w:ascii="Garamond" w:hAnsi="Garamond"/>
          <w:b/>
          <w:bCs/>
          <w:i/>
          <w:iCs/>
          <w:color w:val="0070C0"/>
        </w:rPr>
      </w:pPr>
    </w:p>
    <w:p w14:paraId="69E93CBD" w14:textId="33CC1D4A" w:rsidR="00FF2C8D" w:rsidRDefault="00FF2C8D" w:rsidP="00FF2C8D">
      <w:pPr>
        <w:tabs>
          <w:tab w:val="left" w:pos="915"/>
        </w:tabs>
        <w:rPr>
          <w:rFonts w:ascii="Garamond" w:hAnsi="Garamond"/>
          <w:b/>
          <w:bCs/>
          <w:i/>
          <w:iCs/>
          <w:color w:val="0070C0"/>
        </w:rPr>
      </w:pPr>
    </w:p>
    <w:p w14:paraId="388C78AC" w14:textId="7FFE41B0" w:rsidR="00FF2C8D" w:rsidRDefault="00FF2C8D" w:rsidP="00FF2C8D">
      <w:pPr>
        <w:tabs>
          <w:tab w:val="left" w:pos="915"/>
        </w:tabs>
        <w:rPr>
          <w:rFonts w:ascii="Garamond" w:hAnsi="Garamond"/>
          <w:b/>
          <w:bCs/>
          <w:i/>
          <w:iCs/>
          <w:color w:val="0070C0"/>
        </w:rPr>
      </w:pPr>
    </w:p>
    <w:p w14:paraId="582AE9A8" w14:textId="0152C174" w:rsidR="00FF2C8D" w:rsidRDefault="00FF2C8D" w:rsidP="00FF2C8D">
      <w:pPr>
        <w:tabs>
          <w:tab w:val="left" w:pos="915"/>
        </w:tabs>
        <w:rPr>
          <w:rFonts w:ascii="Garamond" w:hAnsi="Garamond"/>
          <w:b/>
          <w:bCs/>
          <w:i/>
          <w:iCs/>
          <w:color w:val="0070C0"/>
        </w:rPr>
      </w:pPr>
    </w:p>
    <w:p w14:paraId="5ED43670" w14:textId="77777777" w:rsidR="00FF2C8D" w:rsidRPr="00815DD5" w:rsidRDefault="00FF2C8D" w:rsidP="00FF2C8D">
      <w:pPr>
        <w:tabs>
          <w:tab w:val="left" w:pos="915"/>
        </w:tabs>
        <w:rPr>
          <w:rFonts w:ascii="Garamond" w:hAnsi="Garamond"/>
          <w:b/>
          <w:bCs/>
          <w:i/>
          <w:iCs/>
          <w:color w:val="0070C0"/>
        </w:rPr>
      </w:pPr>
    </w:p>
    <w:p w14:paraId="53C9F8DF" w14:textId="77777777" w:rsidR="00FF2C8D" w:rsidRPr="004072E0" w:rsidRDefault="00FF2C8D" w:rsidP="001D7E03">
      <w:pPr>
        <w:tabs>
          <w:tab w:val="left" w:pos="915"/>
        </w:tabs>
        <w:rPr>
          <w:rFonts w:ascii="Garamond" w:hAnsi="Garamond"/>
          <w:color w:val="000000" w:themeColor="text1"/>
        </w:rPr>
      </w:pPr>
    </w:p>
    <w:sectPr w:rsidR="00FF2C8D" w:rsidRPr="004072E0" w:rsidSect="00D3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2328"/>
    <w:multiLevelType w:val="hybridMultilevel"/>
    <w:tmpl w:val="CC86D13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D86B2C"/>
    <w:multiLevelType w:val="hybridMultilevel"/>
    <w:tmpl w:val="70F03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F24AE"/>
    <w:multiLevelType w:val="hybridMultilevel"/>
    <w:tmpl w:val="B1B4C0E8"/>
    <w:lvl w:ilvl="0" w:tplc="04090003">
      <w:start w:val="1"/>
      <w:numFmt w:val="bullet"/>
      <w:lvlText w:val="o"/>
      <w:lvlJc w:val="left"/>
      <w:pPr>
        <w:ind w:left="1635" w:hanging="360"/>
      </w:pPr>
      <w:rPr>
        <w:rFonts w:ascii="Courier New" w:hAnsi="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15:restartNumberingAfterBreak="0">
    <w:nsid w:val="5D27612B"/>
    <w:multiLevelType w:val="hybridMultilevel"/>
    <w:tmpl w:val="D9949F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127C8"/>
    <w:multiLevelType w:val="hybridMultilevel"/>
    <w:tmpl w:val="081EE002"/>
    <w:lvl w:ilvl="0" w:tplc="79423CC0">
      <w:start w:val="860"/>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03"/>
    <w:rsid w:val="0019004B"/>
    <w:rsid w:val="001D7E03"/>
    <w:rsid w:val="00232EFC"/>
    <w:rsid w:val="002C75E3"/>
    <w:rsid w:val="004072E0"/>
    <w:rsid w:val="00416380"/>
    <w:rsid w:val="00556ACB"/>
    <w:rsid w:val="00591AF7"/>
    <w:rsid w:val="0075658D"/>
    <w:rsid w:val="00815DD5"/>
    <w:rsid w:val="00A55EE8"/>
    <w:rsid w:val="00C42CEE"/>
    <w:rsid w:val="00C74298"/>
    <w:rsid w:val="00D31BD3"/>
    <w:rsid w:val="00E16B43"/>
    <w:rsid w:val="00E35437"/>
    <w:rsid w:val="00EB1C08"/>
    <w:rsid w:val="00FF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7CD6F"/>
  <w15:chartTrackingRefBased/>
  <w15:docId w15:val="{A40E57A8-DBCD-0440-A7BE-CB5DA51F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380"/>
    <w:pPr>
      <w:ind w:left="720"/>
      <w:contextualSpacing/>
    </w:pPr>
  </w:style>
  <w:style w:type="character" w:styleId="Hyperlink">
    <w:name w:val="Hyperlink"/>
    <w:basedOn w:val="DefaultParagraphFont"/>
    <w:uiPriority w:val="99"/>
    <w:unhideWhenUsed/>
    <w:rsid w:val="00416380"/>
    <w:rPr>
      <w:color w:val="0563C1" w:themeColor="hyperlink"/>
      <w:u w:val="single"/>
    </w:rPr>
  </w:style>
  <w:style w:type="character" w:styleId="UnresolvedMention">
    <w:name w:val="Unresolved Mention"/>
    <w:basedOn w:val="DefaultParagraphFont"/>
    <w:uiPriority w:val="99"/>
    <w:semiHidden/>
    <w:unhideWhenUsed/>
    <w:rsid w:val="0041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deos.aarp.org/detail/video/4834178739001/millennials-show-us-what-%E2%80%98old%E2%80%99-looks-like---aa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Hentz, Brian</dc:creator>
  <cp:keywords/>
  <dc:description/>
  <cp:lastModifiedBy>Hentz, Brian</cp:lastModifiedBy>
  <cp:revision>9</cp:revision>
  <dcterms:created xsi:type="dcterms:W3CDTF">2019-07-23T14:40:00Z</dcterms:created>
  <dcterms:modified xsi:type="dcterms:W3CDTF">2019-07-23T15:51:00Z</dcterms:modified>
</cp:coreProperties>
</file>